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6BED" w:rsidRPr="008F33AB" w:rsidRDefault="00BC1DF9">
      <w:pPr>
        <w:rPr>
          <w:b/>
        </w:rPr>
      </w:pPr>
      <w:r w:rsidRPr="008F33AB">
        <w:rPr>
          <w:b/>
        </w:rPr>
        <w:t xml:space="preserve">VTS: </w:t>
      </w:r>
      <w:bookmarkStart w:id="0" w:name="_GoBack"/>
      <w:r w:rsidRPr="008F33AB">
        <w:rPr>
          <w:b/>
        </w:rPr>
        <w:t>Explanation for the difference in the FS after audit and audit’s exception</w:t>
      </w:r>
      <w:bookmarkEnd w:id="0"/>
    </w:p>
    <w:p w:rsidR="00BC1DF9" w:rsidRDefault="00BC1DF9">
      <w:r>
        <w:t xml:space="preserve">On 04/02/2016, </w:t>
      </w:r>
      <w:proofErr w:type="spellStart"/>
      <w:r w:rsidRPr="00BC1DF9">
        <w:t>Viglacera</w:t>
      </w:r>
      <w:proofErr w:type="spellEnd"/>
      <w:r w:rsidRPr="00BC1DF9">
        <w:t xml:space="preserve"> </w:t>
      </w:r>
      <w:proofErr w:type="spellStart"/>
      <w:r w:rsidRPr="00BC1DF9">
        <w:t>Tuson</w:t>
      </w:r>
      <w:proofErr w:type="spellEnd"/>
      <w:r w:rsidRPr="00BC1DF9">
        <w:t xml:space="preserve"> </w:t>
      </w:r>
      <w:r>
        <w:t>Joint Stock Company explained the difference in FS after audit as follows:</w:t>
      </w:r>
    </w:p>
    <w:p w:rsidR="00BC1DF9" w:rsidRPr="008F33AB" w:rsidRDefault="00BC1DF9">
      <w:pPr>
        <w:rPr>
          <w:b/>
        </w:rPr>
      </w:pPr>
      <w:r w:rsidRPr="008F33AB">
        <w:rPr>
          <w:b/>
        </w:rPr>
        <w:t>I. Balance sheet and income statement</w:t>
      </w:r>
    </w:p>
    <w:tbl>
      <w:tblPr>
        <w:tblStyle w:val="TableGrid"/>
        <w:tblW w:w="0" w:type="auto"/>
        <w:tblLook w:val="04A0" w:firstRow="1" w:lastRow="0" w:firstColumn="1" w:lastColumn="0" w:noHBand="0" w:noVBand="1"/>
      </w:tblPr>
      <w:tblGrid>
        <w:gridCol w:w="528"/>
        <w:gridCol w:w="3297"/>
        <w:gridCol w:w="1851"/>
        <w:gridCol w:w="1851"/>
        <w:gridCol w:w="1823"/>
      </w:tblGrid>
      <w:tr w:rsidR="00BC1DF9" w:rsidTr="00BC1DF9">
        <w:tc>
          <w:tcPr>
            <w:tcW w:w="265" w:type="dxa"/>
            <w:vAlign w:val="center"/>
          </w:tcPr>
          <w:p w:rsidR="00BC1DF9" w:rsidRDefault="00BC1DF9" w:rsidP="00BC1DF9">
            <w:pPr>
              <w:jc w:val="center"/>
            </w:pPr>
            <w:r>
              <w:t>No.</w:t>
            </w:r>
          </w:p>
        </w:tc>
        <w:tc>
          <w:tcPr>
            <w:tcW w:w="3475" w:type="dxa"/>
            <w:vAlign w:val="center"/>
          </w:tcPr>
          <w:p w:rsidR="00BC1DF9" w:rsidRDefault="00BC1DF9" w:rsidP="00BC1DF9">
            <w:pPr>
              <w:jc w:val="center"/>
            </w:pPr>
            <w:r>
              <w:t>Targets</w:t>
            </w:r>
          </w:p>
        </w:tc>
        <w:tc>
          <w:tcPr>
            <w:tcW w:w="1870" w:type="dxa"/>
            <w:vAlign w:val="center"/>
          </w:tcPr>
          <w:p w:rsidR="00BC1DF9" w:rsidRDefault="00BC1DF9" w:rsidP="00BC1DF9">
            <w:pPr>
              <w:jc w:val="center"/>
            </w:pPr>
            <w:r>
              <w:t>Before audit</w:t>
            </w:r>
          </w:p>
        </w:tc>
        <w:tc>
          <w:tcPr>
            <w:tcW w:w="1870" w:type="dxa"/>
            <w:vAlign w:val="center"/>
          </w:tcPr>
          <w:p w:rsidR="00BC1DF9" w:rsidRDefault="00BC1DF9" w:rsidP="00BC1DF9">
            <w:pPr>
              <w:jc w:val="center"/>
            </w:pPr>
            <w:r>
              <w:t>After audit</w:t>
            </w:r>
          </w:p>
        </w:tc>
        <w:tc>
          <w:tcPr>
            <w:tcW w:w="1870" w:type="dxa"/>
            <w:vAlign w:val="center"/>
          </w:tcPr>
          <w:p w:rsidR="00BC1DF9" w:rsidRDefault="00BC1DF9" w:rsidP="00BC1DF9">
            <w:pPr>
              <w:jc w:val="center"/>
            </w:pPr>
            <w:r>
              <w:t>Difference</w:t>
            </w:r>
          </w:p>
        </w:tc>
      </w:tr>
      <w:tr w:rsidR="00BC1DF9" w:rsidTr="00BC1DF9">
        <w:tc>
          <w:tcPr>
            <w:tcW w:w="265" w:type="dxa"/>
            <w:vAlign w:val="center"/>
          </w:tcPr>
          <w:p w:rsidR="00BC1DF9" w:rsidRDefault="00BC1DF9" w:rsidP="00BC1DF9">
            <w:pPr>
              <w:jc w:val="center"/>
            </w:pPr>
          </w:p>
        </w:tc>
        <w:tc>
          <w:tcPr>
            <w:tcW w:w="3475" w:type="dxa"/>
            <w:vAlign w:val="center"/>
          </w:tcPr>
          <w:p w:rsidR="00BC1DF9" w:rsidRDefault="00BC1DF9" w:rsidP="00BC1DF9">
            <w:pPr>
              <w:jc w:val="center"/>
            </w:pPr>
          </w:p>
        </w:tc>
        <w:tc>
          <w:tcPr>
            <w:tcW w:w="1870" w:type="dxa"/>
            <w:vAlign w:val="center"/>
          </w:tcPr>
          <w:p w:rsidR="00BC1DF9" w:rsidRDefault="00BC1DF9" w:rsidP="00BC1DF9">
            <w:pPr>
              <w:jc w:val="center"/>
            </w:pPr>
            <w:r>
              <w:t>1</w:t>
            </w:r>
          </w:p>
        </w:tc>
        <w:tc>
          <w:tcPr>
            <w:tcW w:w="1870" w:type="dxa"/>
            <w:vAlign w:val="center"/>
          </w:tcPr>
          <w:p w:rsidR="00BC1DF9" w:rsidRDefault="00BC1DF9" w:rsidP="00BC1DF9">
            <w:pPr>
              <w:jc w:val="center"/>
            </w:pPr>
            <w:r>
              <w:t>2</w:t>
            </w:r>
          </w:p>
        </w:tc>
        <w:tc>
          <w:tcPr>
            <w:tcW w:w="1870" w:type="dxa"/>
            <w:vAlign w:val="center"/>
          </w:tcPr>
          <w:p w:rsidR="00BC1DF9" w:rsidRDefault="00BC1DF9" w:rsidP="00BC1DF9">
            <w:pPr>
              <w:jc w:val="center"/>
            </w:pPr>
            <w:r>
              <w:t>3=2-1</w:t>
            </w:r>
          </w:p>
        </w:tc>
      </w:tr>
      <w:tr w:rsidR="00BC1DF9" w:rsidTr="00BC1DF9">
        <w:tc>
          <w:tcPr>
            <w:tcW w:w="265" w:type="dxa"/>
          </w:tcPr>
          <w:p w:rsidR="00BC1DF9" w:rsidRDefault="00BC1DF9">
            <w:r>
              <w:t>1</w:t>
            </w:r>
          </w:p>
        </w:tc>
        <w:tc>
          <w:tcPr>
            <w:tcW w:w="3475" w:type="dxa"/>
          </w:tcPr>
          <w:p w:rsidR="00BC1DF9" w:rsidRDefault="00BC1DF9">
            <w:r>
              <w:t>Balance sheet</w:t>
            </w:r>
          </w:p>
        </w:tc>
        <w:tc>
          <w:tcPr>
            <w:tcW w:w="1870" w:type="dxa"/>
          </w:tcPr>
          <w:p w:rsidR="00BC1DF9" w:rsidRDefault="00BC1DF9">
            <w:r>
              <w:t>57,743,724,176</w:t>
            </w:r>
          </w:p>
        </w:tc>
        <w:tc>
          <w:tcPr>
            <w:tcW w:w="1870" w:type="dxa"/>
          </w:tcPr>
          <w:p w:rsidR="00BC1DF9" w:rsidRDefault="00BC1DF9">
            <w:r>
              <w:t>57,778,284,194</w:t>
            </w:r>
          </w:p>
        </w:tc>
        <w:tc>
          <w:tcPr>
            <w:tcW w:w="1870" w:type="dxa"/>
          </w:tcPr>
          <w:p w:rsidR="00BC1DF9" w:rsidRDefault="00BC1DF9">
            <w:r>
              <w:t>34,560,018</w:t>
            </w:r>
          </w:p>
        </w:tc>
      </w:tr>
      <w:tr w:rsidR="00BC1DF9" w:rsidTr="00BC1DF9">
        <w:tc>
          <w:tcPr>
            <w:tcW w:w="265" w:type="dxa"/>
          </w:tcPr>
          <w:p w:rsidR="00BC1DF9" w:rsidRDefault="00BC1DF9">
            <w:r>
              <w:t>2</w:t>
            </w:r>
          </w:p>
        </w:tc>
        <w:tc>
          <w:tcPr>
            <w:tcW w:w="3475" w:type="dxa"/>
          </w:tcPr>
          <w:p w:rsidR="00BC1DF9" w:rsidRDefault="00BC1DF9">
            <w:r>
              <w:t>Profit before tax</w:t>
            </w:r>
          </w:p>
        </w:tc>
        <w:tc>
          <w:tcPr>
            <w:tcW w:w="1870" w:type="dxa"/>
          </w:tcPr>
          <w:p w:rsidR="00BC1DF9" w:rsidRDefault="00BC1DF9">
            <w:r>
              <w:t>61,761,298</w:t>
            </w:r>
          </w:p>
        </w:tc>
        <w:tc>
          <w:tcPr>
            <w:tcW w:w="1870" w:type="dxa"/>
          </w:tcPr>
          <w:p w:rsidR="00BC1DF9" w:rsidRDefault="00BC1DF9">
            <w:r>
              <w:t>112,030,624</w:t>
            </w:r>
          </w:p>
        </w:tc>
        <w:tc>
          <w:tcPr>
            <w:tcW w:w="1870" w:type="dxa"/>
          </w:tcPr>
          <w:p w:rsidR="00BC1DF9" w:rsidRDefault="00BC1DF9">
            <w:r>
              <w:t>50,269,326</w:t>
            </w:r>
          </w:p>
        </w:tc>
      </w:tr>
      <w:tr w:rsidR="00BC1DF9" w:rsidTr="00BC1DF9">
        <w:tc>
          <w:tcPr>
            <w:tcW w:w="265" w:type="dxa"/>
          </w:tcPr>
          <w:p w:rsidR="00BC1DF9" w:rsidRDefault="00BC1DF9">
            <w:r>
              <w:t>3</w:t>
            </w:r>
          </w:p>
        </w:tc>
        <w:tc>
          <w:tcPr>
            <w:tcW w:w="3475" w:type="dxa"/>
          </w:tcPr>
          <w:p w:rsidR="00BC1DF9" w:rsidRDefault="00BC1DF9">
            <w:r>
              <w:t>Earnings per share</w:t>
            </w:r>
          </w:p>
        </w:tc>
        <w:tc>
          <w:tcPr>
            <w:tcW w:w="1870" w:type="dxa"/>
          </w:tcPr>
          <w:p w:rsidR="00BC1DF9" w:rsidRDefault="00BC1DF9">
            <w:r>
              <w:t>31</w:t>
            </w:r>
          </w:p>
        </w:tc>
        <w:tc>
          <w:tcPr>
            <w:tcW w:w="1870" w:type="dxa"/>
          </w:tcPr>
          <w:p w:rsidR="00BC1DF9" w:rsidRDefault="00BC1DF9">
            <w:r>
              <w:t>56</w:t>
            </w:r>
          </w:p>
        </w:tc>
        <w:tc>
          <w:tcPr>
            <w:tcW w:w="1870" w:type="dxa"/>
          </w:tcPr>
          <w:p w:rsidR="00BC1DF9" w:rsidRDefault="00BC1DF9">
            <w:r>
              <w:t>25</w:t>
            </w:r>
          </w:p>
        </w:tc>
      </w:tr>
    </w:tbl>
    <w:p w:rsidR="00BC1DF9" w:rsidRPr="00BC1DF9" w:rsidRDefault="00BC1DF9">
      <w:pPr>
        <w:rPr>
          <w:b/>
        </w:rPr>
      </w:pPr>
      <w:r w:rsidRPr="00BC1DF9">
        <w:rPr>
          <w:b/>
        </w:rPr>
        <w:t>Explanation:</w:t>
      </w:r>
    </w:p>
    <w:p w:rsidR="00BC1DF9" w:rsidRDefault="00BC1DF9">
      <w:r>
        <w:t>- Balance sheet:</w:t>
      </w:r>
    </w:p>
    <w:p w:rsidR="00BC1DF9" w:rsidRDefault="00BC1DF9" w:rsidP="008F33AB">
      <w:pPr>
        <w:jc w:val="both"/>
      </w:pPr>
      <w:r>
        <w:t>+ Move the individual income tax of la</w:t>
      </w:r>
      <w:r w:rsidR="008F33AB">
        <w:t>bor to payables to State Budget: VND 15,709,309</w:t>
      </w:r>
    </w:p>
    <w:p w:rsidR="008F33AB" w:rsidRDefault="008F33AB" w:rsidP="008F33AB">
      <w:pPr>
        <w:jc w:val="both"/>
      </w:pPr>
      <w:r>
        <w:t>+ Reduce the provisions for inventories as at 31/12/2015 because this provisions did not meet the requirements: VND 50,269,326</w:t>
      </w:r>
    </w:p>
    <w:p w:rsidR="008F33AB" w:rsidRDefault="008F33AB" w:rsidP="008F33AB">
      <w:pPr>
        <w:jc w:val="both"/>
      </w:pPr>
      <w:r>
        <w:t>- Income Statement</w:t>
      </w:r>
    </w:p>
    <w:p w:rsidR="008F33AB" w:rsidRDefault="008F33AB" w:rsidP="008F33AB">
      <w:pPr>
        <w:jc w:val="both"/>
      </w:pPr>
      <w:r>
        <w:t xml:space="preserve">+ The decrease in the provisions led to the increase by VND 50,269,326 in profit </w:t>
      </w:r>
    </w:p>
    <w:p w:rsidR="008F33AB" w:rsidRDefault="008F33AB" w:rsidP="008F33AB">
      <w:pPr>
        <w:jc w:val="both"/>
        <w:rPr>
          <w:b/>
        </w:rPr>
      </w:pPr>
      <w:r w:rsidRPr="008F33AB">
        <w:rPr>
          <w:b/>
        </w:rPr>
        <w:t>II.</w:t>
      </w:r>
      <w:r>
        <w:rPr>
          <w:b/>
        </w:rPr>
        <w:t xml:space="preserve"> Audit’s exception </w:t>
      </w:r>
    </w:p>
    <w:p w:rsidR="008F33AB" w:rsidRDefault="008F33AB" w:rsidP="008F33AB">
      <w:pPr>
        <w:jc w:val="both"/>
      </w:pPr>
      <w:r>
        <w:t>According to independence audit’s report No. 38/2016/BC.KTTC-AASC.KT1:</w:t>
      </w:r>
    </w:p>
    <w:p w:rsidR="008F33AB" w:rsidRDefault="008F33AB" w:rsidP="008F33AB">
      <w:pPr>
        <w:jc w:val="both"/>
      </w:pPr>
      <w:r>
        <w:tab/>
        <w:t xml:space="preserve">- Receivables from employees: </w:t>
      </w:r>
      <w:r>
        <w:tab/>
      </w:r>
      <w:r>
        <w:tab/>
        <w:t>VND 559,000,000</w:t>
      </w:r>
    </w:p>
    <w:p w:rsidR="008F33AB" w:rsidRDefault="008F33AB" w:rsidP="008F33AB">
      <w:pPr>
        <w:jc w:val="both"/>
      </w:pPr>
      <w:r>
        <w:tab/>
        <w:t xml:space="preserve">- Receivables interest from employees: </w:t>
      </w:r>
      <w:r>
        <w:tab/>
        <w:t>VND 1,158,436,228</w:t>
      </w:r>
    </w:p>
    <w:p w:rsidR="008F33AB" w:rsidRDefault="008F33AB" w:rsidP="008F33AB">
      <w:pPr>
        <w:jc w:val="both"/>
      </w:pPr>
      <w:r>
        <w:tab/>
        <w:t>- Other liabilities:</w:t>
      </w:r>
      <w:r>
        <w:tab/>
      </w:r>
      <w:r>
        <w:tab/>
      </w:r>
      <w:r>
        <w:tab/>
        <w:t>VND 272,193,105</w:t>
      </w:r>
    </w:p>
    <w:p w:rsidR="008F33AB" w:rsidRDefault="008F33AB" w:rsidP="008F33AB">
      <w:pPr>
        <w:jc w:val="both"/>
      </w:pPr>
      <w:r>
        <w:tab/>
      </w:r>
      <w:r>
        <w:tab/>
        <w:t>Total:</w:t>
      </w:r>
      <w:r>
        <w:tab/>
      </w:r>
      <w:r>
        <w:tab/>
      </w:r>
      <w:r>
        <w:tab/>
      </w:r>
      <w:r>
        <w:tab/>
        <w:t>VND 1,989,629,333</w:t>
      </w:r>
    </w:p>
    <w:p w:rsidR="008F33AB" w:rsidRDefault="008F33AB" w:rsidP="008F33AB">
      <w:pPr>
        <w:jc w:val="both"/>
      </w:pPr>
      <w:r>
        <w:t>According to the audit’s opinion, these were the overdue debts. During the audit, auditor did not gather fully the information about securities assets, therefore, it would affect the ability to collect debts of the Company in the future. However, according to the Company’s opinion, these were the liabilities of employees who were supported financially by the Company.</w:t>
      </w:r>
      <w:r w:rsidR="00F06DE0">
        <w:t xml:space="preserve"> Almost the debts were secured by the assets purchased by employees. Every month, the Company calculates and collects interest according to borrowing contract with the interest lower than interest rate cap of State Bank. Therefore, these are liabilities with high ability to recover and meet all the requirements for extracting for provision.</w:t>
      </w:r>
    </w:p>
    <w:p w:rsidR="00F06DE0" w:rsidRPr="008F33AB" w:rsidRDefault="00F06DE0" w:rsidP="008F33AB">
      <w:pPr>
        <w:jc w:val="both"/>
      </w:pPr>
      <w:r>
        <w:t xml:space="preserve">Other liabilities were the value paid in advance by the Company to </w:t>
      </w:r>
      <w:r w:rsidR="00117C2E">
        <w:t>a partner</w:t>
      </w:r>
      <w:r>
        <w:t xml:space="preserve">, which were higher than the settlement approved during repairing and constructing Hai Duong Factory. Currently, this partner is still main supplier </w:t>
      </w:r>
      <w:r w:rsidR="00117C2E">
        <w:t xml:space="preserve">of material dirt of the Company at Hai Duong Factory. The Company will review and offset this debt in the future. </w:t>
      </w:r>
    </w:p>
    <w:sectPr w:rsidR="00F06DE0" w:rsidRPr="008F33A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7C2E" w:rsidRDefault="00117C2E" w:rsidP="00117C2E">
      <w:pPr>
        <w:spacing w:after="0" w:line="240" w:lineRule="auto"/>
      </w:pPr>
      <w:r>
        <w:separator/>
      </w:r>
    </w:p>
  </w:endnote>
  <w:endnote w:type="continuationSeparator" w:id="0">
    <w:p w:rsidR="00117C2E" w:rsidRDefault="00117C2E" w:rsidP="00117C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7C2E" w:rsidRDefault="00117C2E" w:rsidP="00117C2E">
      <w:pPr>
        <w:spacing w:after="0" w:line="240" w:lineRule="auto"/>
      </w:pPr>
      <w:r>
        <w:separator/>
      </w:r>
    </w:p>
  </w:footnote>
  <w:footnote w:type="continuationSeparator" w:id="0">
    <w:p w:rsidR="00117C2E" w:rsidRDefault="00117C2E" w:rsidP="00117C2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1DF9"/>
    <w:rsid w:val="00117C2E"/>
    <w:rsid w:val="007263DC"/>
    <w:rsid w:val="00886BED"/>
    <w:rsid w:val="008F33AB"/>
    <w:rsid w:val="00BC1DF9"/>
    <w:rsid w:val="00C16241"/>
    <w:rsid w:val="00DB476B"/>
    <w:rsid w:val="00F06DE0"/>
    <w:rsid w:val="00F231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6BFF4F-C20D-4C5C-9A9E-97A97BE0B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C1D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17C2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7C2E"/>
  </w:style>
  <w:style w:type="paragraph" w:styleId="Footer">
    <w:name w:val="footer"/>
    <w:basedOn w:val="Normal"/>
    <w:link w:val="FooterChar"/>
    <w:uiPriority w:val="99"/>
    <w:unhideWhenUsed/>
    <w:rsid w:val="00117C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7C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1325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1</Pages>
  <Words>313</Words>
  <Characters>1785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 Trieu</dc:creator>
  <cp:keywords/>
  <dc:description/>
  <cp:lastModifiedBy>Son Trieu</cp:lastModifiedBy>
  <cp:revision>1</cp:revision>
  <dcterms:created xsi:type="dcterms:W3CDTF">2016-02-17T07:23:00Z</dcterms:created>
  <dcterms:modified xsi:type="dcterms:W3CDTF">2016-02-17T07:59:00Z</dcterms:modified>
</cp:coreProperties>
</file>